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3716BF" w:rsidP="00140411">
      <w:pPr>
        <w:spacing w:line="480" w:lineRule="auto"/>
        <w:jc w:val="center"/>
        <w:rPr>
          <w:rFonts w:ascii="Times New Roman" w:hAnsi="Times New Roman" w:cs="Times New Roman"/>
          <w:sz w:val="24"/>
          <w:szCs w:val="24"/>
        </w:rPr>
      </w:pPr>
      <w:r w:rsidRPr="00140411">
        <w:rPr>
          <w:rFonts w:ascii="Times New Roman" w:hAnsi="Times New Roman" w:cs="Times New Roman"/>
          <w:sz w:val="24"/>
          <w:szCs w:val="24"/>
        </w:rPr>
        <w:t>Measuring Sustainability</w:t>
      </w:r>
    </w:p>
    <w:p w:rsidR="00140411" w:rsidRDefault="003716BF" w:rsidP="0014041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0411" w:rsidRDefault="003716BF" w:rsidP="001404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140411" w:rsidP="00140411">
      <w:pPr>
        <w:spacing w:line="480" w:lineRule="auto"/>
        <w:jc w:val="center"/>
        <w:rPr>
          <w:rFonts w:ascii="Times New Roman" w:hAnsi="Times New Roman" w:cs="Times New Roman"/>
          <w:sz w:val="24"/>
          <w:szCs w:val="24"/>
        </w:rPr>
      </w:pPr>
    </w:p>
    <w:p w:rsidR="00140411" w:rsidRDefault="003716BF" w:rsidP="00140411">
      <w:pPr>
        <w:spacing w:line="480" w:lineRule="auto"/>
        <w:jc w:val="center"/>
        <w:rPr>
          <w:rFonts w:ascii="Times New Roman" w:hAnsi="Times New Roman" w:cs="Times New Roman"/>
          <w:b/>
          <w:color w:val="222222"/>
          <w:sz w:val="24"/>
          <w:szCs w:val="24"/>
          <w:shd w:val="clear" w:color="auto" w:fill="FFFFFF"/>
        </w:rPr>
      </w:pPr>
      <w:r w:rsidRPr="00140411">
        <w:rPr>
          <w:rFonts w:ascii="Times New Roman" w:hAnsi="Times New Roman" w:cs="Times New Roman"/>
          <w:sz w:val="24"/>
          <w:szCs w:val="24"/>
        </w:rPr>
        <w:lastRenderedPageBreak/>
        <w:t>Measuring Sustainability</w:t>
      </w:r>
    </w:p>
    <w:p w:rsidR="00140411" w:rsidRPr="00140411" w:rsidRDefault="003716BF" w:rsidP="00140411">
      <w:pPr>
        <w:spacing w:line="480" w:lineRule="auto"/>
        <w:rPr>
          <w:rFonts w:ascii="Times New Roman" w:hAnsi="Times New Roman" w:cs="Times New Roman"/>
          <w:b/>
          <w:sz w:val="24"/>
          <w:szCs w:val="24"/>
        </w:rPr>
      </w:pPr>
      <w:r w:rsidRPr="00140411">
        <w:rPr>
          <w:rFonts w:ascii="Times New Roman" w:hAnsi="Times New Roman" w:cs="Times New Roman"/>
          <w:b/>
          <w:color w:val="222222"/>
          <w:sz w:val="24"/>
          <w:szCs w:val="24"/>
          <w:shd w:val="clear" w:color="auto" w:fill="FFFFFF"/>
        </w:rPr>
        <w:t>Discuss the challenges of measuring sustainability in a way that drives positive corporate sustainability performance.</w:t>
      </w:r>
    </w:p>
    <w:p w:rsidR="00A34CAD" w:rsidRPr="00140411" w:rsidRDefault="003716BF" w:rsidP="00140411">
      <w:pPr>
        <w:spacing w:line="480" w:lineRule="auto"/>
        <w:rPr>
          <w:rFonts w:ascii="Times New Roman" w:hAnsi="Times New Roman" w:cs="Times New Roman"/>
          <w:sz w:val="24"/>
          <w:szCs w:val="24"/>
        </w:rPr>
      </w:pPr>
      <w:r w:rsidRPr="00140411">
        <w:rPr>
          <w:rFonts w:ascii="Times New Roman" w:hAnsi="Times New Roman" w:cs="Times New Roman"/>
          <w:sz w:val="24"/>
          <w:szCs w:val="24"/>
        </w:rPr>
        <w:tab/>
      </w:r>
      <w:r w:rsidR="00D9767F" w:rsidRPr="00140411">
        <w:rPr>
          <w:rFonts w:ascii="Times New Roman" w:hAnsi="Times New Roman" w:cs="Times New Roman"/>
          <w:sz w:val="24"/>
          <w:szCs w:val="24"/>
        </w:rPr>
        <w:t>Climate change and public policy</w:t>
      </w:r>
      <w:r w:rsidRPr="00140411">
        <w:rPr>
          <w:rFonts w:ascii="Times New Roman" w:hAnsi="Times New Roman" w:cs="Times New Roman"/>
          <w:sz w:val="24"/>
          <w:szCs w:val="24"/>
        </w:rPr>
        <w:t xml:space="preserve"> is a challenge</w:t>
      </w:r>
      <w:r w:rsidR="00D9767F" w:rsidRPr="00140411">
        <w:rPr>
          <w:rFonts w:ascii="Times New Roman" w:hAnsi="Times New Roman" w:cs="Times New Roman"/>
          <w:sz w:val="24"/>
          <w:szCs w:val="24"/>
        </w:rPr>
        <w:t>. The difference in climate creates a significant problem in the future and current state of a company. All the aspects of the economy are all affected by the issue. Collaborating for sustainability is an essential action that most companies take. However, the collaboration effort may prove difficult</w:t>
      </w:r>
      <w:r w:rsidR="00120F59">
        <w:rPr>
          <w:rFonts w:ascii="Times New Roman" w:hAnsi="Times New Roman" w:cs="Times New Roman"/>
          <w:sz w:val="24"/>
          <w:szCs w:val="24"/>
        </w:rPr>
        <w:t xml:space="preserve"> if not properly implemented</w:t>
      </w:r>
      <w:r w:rsidR="00D9767F" w:rsidRPr="00140411">
        <w:rPr>
          <w:rFonts w:ascii="Times New Roman" w:hAnsi="Times New Roman" w:cs="Times New Roman"/>
          <w:sz w:val="24"/>
          <w:szCs w:val="24"/>
        </w:rPr>
        <w:t>. The achievement of the initiative promotes actual business practices within an economy that supports sustainability in a positive way for the people that are affected by the actions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Cooper, Ezzamel &amp; Qu, </w:t>
      </w:r>
      <w:r w:rsidRPr="00140411">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w:t>
      </w:r>
      <w:r w:rsidR="00D9767F" w:rsidRPr="00140411">
        <w:rPr>
          <w:rFonts w:ascii="Times New Roman" w:hAnsi="Times New Roman" w:cs="Times New Roman"/>
          <w:sz w:val="24"/>
          <w:szCs w:val="24"/>
        </w:rPr>
        <w:t>. Creating a mechanism in which durability is reported and measured plays an active part in this perspective. The action is quite tricky based on the skeptics involved in the identification of sustainability factors. It reduces the rate of redundancy that facilitates positive company practices within the market. Therefore, several factors affect sustainability rates at favorable rates.</w:t>
      </w:r>
    </w:p>
    <w:p w:rsidR="00D9767F" w:rsidRDefault="003716BF" w:rsidP="00140411">
      <w:pPr>
        <w:spacing w:line="480" w:lineRule="auto"/>
        <w:rPr>
          <w:rFonts w:ascii="Times New Roman" w:hAnsi="Times New Roman" w:cs="Times New Roman"/>
          <w:sz w:val="24"/>
          <w:szCs w:val="24"/>
        </w:rPr>
      </w:pPr>
      <w:r w:rsidRPr="00140411">
        <w:rPr>
          <w:rFonts w:ascii="Times New Roman" w:hAnsi="Times New Roman" w:cs="Times New Roman"/>
          <w:sz w:val="24"/>
          <w:szCs w:val="24"/>
        </w:rPr>
        <w:tab/>
        <w:t>The creation of the sustainability programs is an easy task that most corporates undertake. However, sustaining sustainability programs is a critical issue that creates interest in the topic. The sustenance of such programs is quite expensive and negatively affects the company. The action of educating consumers is a difficult task that has proved costly for most companies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Gatzert &amp; Schmit, </w:t>
      </w:r>
      <w:r w:rsidRPr="00140411">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140411">
        <w:rPr>
          <w:rFonts w:ascii="Times New Roman" w:hAnsi="Times New Roman" w:cs="Times New Roman"/>
          <w:sz w:val="24"/>
          <w:szCs w:val="24"/>
        </w:rPr>
        <w:t>. High investment costs involved in the work that creates complications throughout the process. It creates the necessity of developing positive business practices. The creation of a long term orientation program is also a complicated task that involves the participation of various stakeholders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Azevedo</w:t>
      </w:r>
      <w:r w:rsidRPr="00140411">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 xml:space="preserve">Barros, </w:t>
      </w:r>
      <w:r w:rsidRPr="00140411">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w:t>
      </w:r>
      <w:r w:rsidRPr="00140411">
        <w:rPr>
          <w:rFonts w:ascii="Times New Roman" w:hAnsi="Times New Roman" w:cs="Times New Roman"/>
          <w:sz w:val="24"/>
          <w:szCs w:val="24"/>
        </w:rPr>
        <w:t xml:space="preserve">. The unstable purchasing power </w:t>
      </w:r>
      <w:r w:rsidRPr="00140411">
        <w:rPr>
          <w:rFonts w:ascii="Times New Roman" w:hAnsi="Times New Roman" w:cs="Times New Roman"/>
          <w:sz w:val="24"/>
          <w:szCs w:val="24"/>
        </w:rPr>
        <w:lastRenderedPageBreak/>
        <w:t>of the consumers affects the efforts of the company negatively in this perspective. Therefore, understanding effective company practices is a necessity in this perspective as it leads to the positive development of sustainability programs.</w:t>
      </w: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Default="00093DDC" w:rsidP="00140411">
      <w:pPr>
        <w:spacing w:line="480" w:lineRule="auto"/>
        <w:rPr>
          <w:rFonts w:ascii="Times New Roman" w:hAnsi="Times New Roman" w:cs="Times New Roman"/>
          <w:sz w:val="24"/>
          <w:szCs w:val="24"/>
        </w:rPr>
      </w:pPr>
    </w:p>
    <w:p w:rsidR="00093DDC" w:rsidRPr="00140411" w:rsidRDefault="00093DDC" w:rsidP="00140411">
      <w:pPr>
        <w:spacing w:line="480" w:lineRule="auto"/>
        <w:rPr>
          <w:rFonts w:ascii="Times New Roman" w:hAnsi="Times New Roman" w:cs="Times New Roman"/>
          <w:sz w:val="24"/>
          <w:szCs w:val="24"/>
        </w:rPr>
      </w:pPr>
    </w:p>
    <w:p w:rsidR="00140411" w:rsidRPr="00140411" w:rsidRDefault="003716BF" w:rsidP="00093DDC">
      <w:pPr>
        <w:spacing w:line="480" w:lineRule="auto"/>
        <w:jc w:val="center"/>
        <w:rPr>
          <w:rFonts w:ascii="Times New Roman" w:hAnsi="Times New Roman" w:cs="Times New Roman"/>
          <w:sz w:val="24"/>
          <w:szCs w:val="24"/>
        </w:rPr>
      </w:pPr>
      <w:r w:rsidRPr="00140411">
        <w:rPr>
          <w:rFonts w:ascii="Times New Roman" w:hAnsi="Times New Roman" w:cs="Times New Roman"/>
          <w:sz w:val="24"/>
          <w:szCs w:val="24"/>
        </w:rPr>
        <w:lastRenderedPageBreak/>
        <w:t>References</w:t>
      </w:r>
    </w:p>
    <w:p w:rsidR="00093DDC" w:rsidRDefault="003716BF" w:rsidP="00140411">
      <w:pPr>
        <w:spacing w:line="480" w:lineRule="auto"/>
        <w:rPr>
          <w:rFonts w:ascii="Times New Roman" w:hAnsi="Times New Roman" w:cs="Times New Roman"/>
          <w:color w:val="222222"/>
          <w:sz w:val="24"/>
          <w:szCs w:val="24"/>
          <w:shd w:val="clear" w:color="auto" w:fill="FFFFFF"/>
        </w:rPr>
      </w:pPr>
      <w:r w:rsidRPr="00140411">
        <w:rPr>
          <w:rFonts w:ascii="Times New Roman" w:hAnsi="Times New Roman" w:cs="Times New Roman"/>
          <w:color w:val="222222"/>
          <w:sz w:val="24"/>
          <w:szCs w:val="24"/>
          <w:shd w:val="clear" w:color="auto" w:fill="FFFFFF"/>
        </w:rPr>
        <w:t xml:space="preserve">Azevedo, S., &amp; Barros, M. (2017). The application of the triple bottom line approach to </w:t>
      </w:r>
    </w:p>
    <w:p w:rsidR="00093DDC" w:rsidRDefault="00093DDC" w:rsidP="0014041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3716BF" w:rsidRPr="00140411">
        <w:rPr>
          <w:rFonts w:ascii="Times New Roman" w:hAnsi="Times New Roman" w:cs="Times New Roman"/>
          <w:color w:val="222222"/>
          <w:sz w:val="24"/>
          <w:szCs w:val="24"/>
          <w:shd w:val="clear" w:color="auto" w:fill="FFFFFF"/>
        </w:rPr>
        <w:t>sustainability assessment: The case study of t</w:t>
      </w:r>
      <w:bookmarkStart w:id="0" w:name="_GoBack"/>
      <w:bookmarkEnd w:id="0"/>
      <w:r w:rsidR="003716BF" w:rsidRPr="00140411">
        <w:rPr>
          <w:rFonts w:ascii="Times New Roman" w:hAnsi="Times New Roman" w:cs="Times New Roman"/>
          <w:color w:val="222222"/>
          <w:sz w:val="24"/>
          <w:szCs w:val="24"/>
          <w:shd w:val="clear" w:color="auto" w:fill="FFFFFF"/>
        </w:rPr>
        <w:t xml:space="preserve">he UK automotive supply chain. Journal of </w:t>
      </w:r>
    </w:p>
    <w:p w:rsidR="00140411" w:rsidRPr="00140411" w:rsidRDefault="00093DDC" w:rsidP="0014041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3716BF" w:rsidRPr="00140411">
        <w:rPr>
          <w:rFonts w:ascii="Times New Roman" w:hAnsi="Times New Roman" w:cs="Times New Roman"/>
          <w:color w:val="222222"/>
          <w:sz w:val="24"/>
          <w:szCs w:val="24"/>
          <w:shd w:val="clear" w:color="auto" w:fill="FFFFFF"/>
        </w:rPr>
        <w:t xml:space="preserve">Industrial Engineering and Management, 10(2), 286-322. </w:t>
      </w:r>
    </w:p>
    <w:p w:rsidR="00093DDC" w:rsidRDefault="003716BF" w:rsidP="00140411">
      <w:pPr>
        <w:spacing w:line="480" w:lineRule="auto"/>
        <w:rPr>
          <w:rFonts w:ascii="Times New Roman" w:hAnsi="Times New Roman" w:cs="Times New Roman"/>
          <w:color w:val="222222"/>
          <w:sz w:val="24"/>
          <w:szCs w:val="24"/>
          <w:shd w:val="clear" w:color="auto" w:fill="FFFFFF"/>
        </w:rPr>
      </w:pPr>
      <w:r w:rsidRPr="00140411">
        <w:rPr>
          <w:rFonts w:ascii="Times New Roman" w:hAnsi="Times New Roman" w:cs="Times New Roman"/>
          <w:color w:val="222222"/>
          <w:sz w:val="24"/>
          <w:szCs w:val="24"/>
          <w:shd w:val="clear" w:color="auto" w:fill="FFFFFF"/>
        </w:rPr>
        <w:t>Gatzert, N., &amp; Schmit, J. (2016). Supporting strategic success through enterprise-wide reputation</w:t>
      </w:r>
    </w:p>
    <w:p w:rsidR="00140411" w:rsidRPr="00140411" w:rsidRDefault="003716BF" w:rsidP="00093DDC">
      <w:pPr>
        <w:spacing w:line="480" w:lineRule="auto"/>
        <w:ind w:firstLine="720"/>
        <w:rPr>
          <w:rFonts w:ascii="Times New Roman" w:hAnsi="Times New Roman" w:cs="Times New Roman"/>
          <w:color w:val="222222"/>
          <w:sz w:val="24"/>
          <w:szCs w:val="24"/>
          <w:shd w:val="clear" w:color="auto" w:fill="FFFFFF"/>
        </w:rPr>
      </w:pPr>
      <w:r w:rsidRPr="00140411">
        <w:rPr>
          <w:rFonts w:ascii="Times New Roman" w:hAnsi="Times New Roman" w:cs="Times New Roman"/>
          <w:color w:val="222222"/>
          <w:sz w:val="24"/>
          <w:szCs w:val="24"/>
          <w:shd w:val="clear" w:color="auto" w:fill="FFFFFF"/>
        </w:rPr>
        <w:t xml:space="preserve"> risk management. The Journal of Risk Finance, 17(1). 26-45. Recommended </w:t>
      </w:r>
    </w:p>
    <w:p w:rsidR="00093DDC" w:rsidRDefault="003716BF" w:rsidP="00140411">
      <w:pPr>
        <w:spacing w:line="480" w:lineRule="auto"/>
        <w:rPr>
          <w:rFonts w:ascii="Times New Roman" w:hAnsi="Times New Roman" w:cs="Times New Roman"/>
          <w:color w:val="222222"/>
          <w:sz w:val="24"/>
          <w:szCs w:val="24"/>
          <w:shd w:val="clear" w:color="auto" w:fill="FFFFFF"/>
        </w:rPr>
      </w:pPr>
      <w:r w:rsidRPr="00140411">
        <w:rPr>
          <w:rFonts w:ascii="Times New Roman" w:hAnsi="Times New Roman" w:cs="Times New Roman"/>
          <w:color w:val="222222"/>
          <w:sz w:val="24"/>
          <w:szCs w:val="24"/>
          <w:shd w:val="clear" w:color="auto" w:fill="FFFFFF"/>
        </w:rPr>
        <w:t xml:space="preserve">Cooper, D. J., Ezzamel, M., &amp; Qu, S. Q. (2017). Popularizing a management accounting idea: </w:t>
      </w:r>
    </w:p>
    <w:p w:rsidR="00093DDC" w:rsidRDefault="00093DDC" w:rsidP="0014041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3716BF" w:rsidRPr="00140411">
        <w:rPr>
          <w:rFonts w:ascii="Times New Roman" w:hAnsi="Times New Roman" w:cs="Times New Roman"/>
          <w:color w:val="222222"/>
          <w:sz w:val="24"/>
          <w:szCs w:val="24"/>
          <w:shd w:val="clear" w:color="auto" w:fill="FFFFFF"/>
        </w:rPr>
        <w:t>The case of the balanced scorecard. Contemporary Accounting Research, 34(2), 991-</w:t>
      </w:r>
    </w:p>
    <w:p w:rsidR="00140411" w:rsidRPr="00140411" w:rsidRDefault="00093DDC" w:rsidP="0014041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3716BF" w:rsidRPr="00140411">
        <w:rPr>
          <w:rFonts w:ascii="Times New Roman" w:hAnsi="Times New Roman" w:cs="Times New Roman"/>
          <w:color w:val="222222"/>
          <w:sz w:val="24"/>
          <w:szCs w:val="24"/>
          <w:shd w:val="clear" w:color="auto" w:fill="FFFFFF"/>
        </w:rPr>
        <w:t xml:space="preserve">1025. • </w:t>
      </w:r>
    </w:p>
    <w:p w:rsidR="00140411" w:rsidRPr="00140411" w:rsidRDefault="003716BF" w:rsidP="00140411">
      <w:pPr>
        <w:spacing w:line="480" w:lineRule="auto"/>
        <w:rPr>
          <w:rFonts w:ascii="Times New Roman" w:hAnsi="Times New Roman" w:cs="Times New Roman"/>
          <w:color w:val="222222"/>
          <w:sz w:val="24"/>
          <w:szCs w:val="24"/>
          <w:shd w:val="clear" w:color="auto" w:fill="FFFFFF"/>
        </w:rPr>
      </w:pPr>
      <w:r w:rsidRPr="00140411">
        <w:rPr>
          <w:rFonts w:ascii="Times New Roman" w:hAnsi="Times New Roman" w:cs="Times New Roman"/>
          <w:color w:val="222222"/>
          <w:sz w:val="24"/>
          <w:szCs w:val="24"/>
          <w:shd w:val="clear" w:color="auto" w:fill="FFFFFF"/>
        </w:rPr>
        <w:t>Sabic. (2018). Building a better future: Sustainability report 2018 executive summary.</w:t>
      </w:r>
    </w:p>
    <w:p w:rsidR="00140411" w:rsidRPr="00140411" w:rsidRDefault="00140411" w:rsidP="00140411">
      <w:pPr>
        <w:spacing w:line="480" w:lineRule="auto"/>
        <w:rPr>
          <w:rFonts w:ascii="Times New Roman" w:hAnsi="Times New Roman" w:cs="Times New Roman"/>
          <w:sz w:val="24"/>
          <w:szCs w:val="24"/>
        </w:rPr>
      </w:pPr>
    </w:p>
    <w:p w:rsidR="00140411" w:rsidRPr="00140411" w:rsidRDefault="00140411" w:rsidP="00140411">
      <w:pPr>
        <w:spacing w:line="480" w:lineRule="auto"/>
        <w:rPr>
          <w:rFonts w:ascii="Times New Roman" w:hAnsi="Times New Roman" w:cs="Times New Roman"/>
          <w:sz w:val="24"/>
          <w:szCs w:val="24"/>
        </w:rPr>
      </w:pPr>
    </w:p>
    <w:sectPr w:rsidR="00140411" w:rsidRPr="00140411" w:rsidSect="0014041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C60" w:rsidRDefault="00052C60" w:rsidP="007E7217">
      <w:pPr>
        <w:spacing w:after="0" w:line="240" w:lineRule="auto"/>
      </w:pPr>
      <w:r>
        <w:separator/>
      </w:r>
    </w:p>
  </w:endnote>
  <w:endnote w:type="continuationSeparator" w:id="0">
    <w:p w:rsidR="00052C60" w:rsidRDefault="00052C60" w:rsidP="007E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C60" w:rsidRDefault="00052C60" w:rsidP="007E7217">
      <w:pPr>
        <w:spacing w:after="0" w:line="240" w:lineRule="auto"/>
      </w:pPr>
      <w:r>
        <w:separator/>
      </w:r>
    </w:p>
  </w:footnote>
  <w:footnote w:type="continuationSeparator" w:id="0">
    <w:p w:rsidR="00052C60" w:rsidRDefault="00052C60" w:rsidP="007E7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44959"/>
      <w:docPartObj>
        <w:docPartGallery w:val="Page Numbers (Top of Page)"/>
        <w:docPartUnique/>
      </w:docPartObj>
    </w:sdtPr>
    <w:sdtEndPr/>
    <w:sdtContent>
      <w:p w:rsidR="00140411" w:rsidRPr="00140411" w:rsidRDefault="003716BF">
        <w:pPr>
          <w:pStyle w:val="Header"/>
          <w:jc w:val="right"/>
          <w:rPr>
            <w:rFonts w:ascii="Times New Roman" w:hAnsi="Times New Roman" w:cs="Times New Roman"/>
            <w:sz w:val="24"/>
            <w:szCs w:val="24"/>
          </w:rPr>
        </w:pPr>
        <w:r w:rsidRPr="00140411">
          <w:rPr>
            <w:rFonts w:ascii="Times New Roman" w:hAnsi="Times New Roman" w:cs="Times New Roman"/>
            <w:sz w:val="24"/>
            <w:szCs w:val="24"/>
          </w:rPr>
          <w:t>MEASURING SUSTAINABILITY</w:t>
        </w:r>
        <w:r>
          <w:rPr>
            <w:rFonts w:ascii="Times New Roman" w:hAnsi="Times New Roman" w:cs="Times New Roman"/>
            <w:sz w:val="24"/>
            <w:szCs w:val="24"/>
          </w:rPr>
          <w:tab/>
        </w:r>
        <w:r>
          <w:rPr>
            <w:rFonts w:ascii="Times New Roman" w:hAnsi="Times New Roman" w:cs="Times New Roman"/>
            <w:sz w:val="24"/>
            <w:szCs w:val="24"/>
          </w:rPr>
          <w:tab/>
        </w:r>
        <w:r w:rsidRPr="00140411">
          <w:rPr>
            <w:rFonts w:ascii="Times New Roman" w:hAnsi="Times New Roman" w:cs="Times New Roman"/>
            <w:sz w:val="24"/>
            <w:szCs w:val="24"/>
          </w:rPr>
          <w:t xml:space="preserve"> </w:t>
        </w:r>
        <w:r w:rsidR="007E7217" w:rsidRPr="00140411">
          <w:rPr>
            <w:rFonts w:ascii="Times New Roman" w:hAnsi="Times New Roman" w:cs="Times New Roman"/>
            <w:sz w:val="24"/>
            <w:szCs w:val="24"/>
          </w:rPr>
          <w:fldChar w:fldCharType="begin"/>
        </w:r>
        <w:r w:rsidRPr="00140411">
          <w:rPr>
            <w:rFonts w:ascii="Times New Roman" w:hAnsi="Times New Roman" w:cs="Times New Roman"/>
            <w:sz w:val="24"/>
            <w:szCs w:val="24"/>
          </w:rPr>
          <w:instrText xml:space="preserve"> PAGE   \* MERGEFORMAT </w:instrText>
        </w:r>
        <w:r w:rsidR="007E7217" w:rsidRPr="00140411">
          <w:rPr>
            <w:rFonts w:ascii="Times New Roman" w:hAnsi="Times New Roman" w:cs="Times New Roman"/>
            <w:sz w:val="24"/>
            <w:szCs w:val="24"/>
          </w:rPr>
          <w:fldChar w:fldCharType="separate"/>
        </w:r>
        <w:r w:rsidR="00093DDC">
          <w:rPr>
            <w:rFonts w:ascii="Times New Roman" w:hAnsi="Times New Roman" w:cs="Times New Roman"/>
            <w:noProof/>
            <w:sz w:val="24"/>
            <w:szCs w:val="24"/>
          </w:rPr>
          <w:t>4</w:t>
        </w:r>
        <w:r w:rsidR="007E7217" w:rsidRPr="00140411">
          <w:rPr>
            <w:rFonts w:ascii="Times New Roman" w:hAnsi="Times New Roman" w:cs="Times New Roman"/>
            <w:sz w:val="24"/>
            <w:szCs w:val="24"/>
          </w:rPr>
          <w:fldChar w:fldCharType="end"/>
        </w:r>
      </w:p>
    </w:sdtContent>
  </w:sdt>
  <w:p w:rsidR="00140411" w:rsidRPr="00140411" w:rsidRDefault="001404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411" w:rsidRPr="00140411" w:rsidRDefault="003716BF">
    <w:pPr>
      <w:pStyle w:val="Header"/>
      <w:jc w:val="right"/>
      <w:rPr>
        <w:rFonts w:ascii="Times New Roman" w:hAnsi="Times New Roman" w:cs="Times New Roman"/>
        <w:sz w:val="24"/>
        <w:szCs w:val="24"/>
      </w:rPr>
    </w:pPr>
    <w:r w:rsidRPr="00140411">
      <w:rPr>
        <w:rFonts w:ascii="Times New Roman" w:hAnsi="Times New Roman" w:cs="Times New Roman"/>
        <w:sz w:val="24"/>
        <w:szCs w:val="24"/>
      </w:rPr>
      <w:t>Running head: MEASURING SUSTAINABILITY</w:t>
    </w:r>
    <w:sdt>
      <w:sdtPr>
        <w:rPr>
          <w:rFonts w:ascii="Times New Roman" w:hAnsi="Times New Roman" w:cs="Times New Roman"/>
          <w:sz w:val="24"/>
          <w:szCs w:val="24"/>
        </w:rPr>
        <w:id w:val="16844960"/>
        <w:docPartObj>
          <w:docPartGallery w:val="Page Numbers (Top of Page)"/>
          <w:docPartUnique/>
        </w:docPartObj>
      </w:sdtPr>
      <w:sdtEndPr/>
      <w:sdtContent>
        <w:r>
          <w:rPr>
            <w:rFonts w:ascii="Times New Roman" w:hAnsi="Times New Roman" w:cs="Times New Roman"/>
            <w:sz w:val="24"/>
            <w:szCs w:val="24"/>
          </w:rPr>
          <w:tab/>
        </w:r>
        <w:r w:rsidR="007E7217" w:rsidRPr="00140411">
          <w:rPr>
            <w:rFonts w:ascii="Times New Roman" w:hAnsi="Times New Roman" w:cs="Times New Roman"/>
            <w:sz w:val="24"/>
            <w:szCs w:val="24"/>
          </w:rPr>
          <w:fldChar w:fldCharType="begin"/>
        </w:r>
        <w:r w:rsidRPr="00140411">
          <w:rPr>
            <w:rFonts w:ascii="Times New Roman" w:hAnsi="Times New Roman" w:cs="Times New Roman"/>
            <w:sz w:val="24"/>
            <w:szCs w:val="24"/>
          </w:rPr>
          <w:instrText xml:space="preserve"> PAGE   \* MERGEFORMAT </w:instrText>
        </w:r>
        <w:r w:rsidR="007E7217" w:rsidRPr="00140411">
          <w:rPr>
            <w:rFonts w:ascii="Times New Roman" w:hAnsi="Times New Roman" w:cs="Times New Roman"/>
            <w:sz w:val="24"/>
            <w:szCs w:val="24"/>
          </w:rPr>
          <w:fldChar w:fldCharType="separate"/>
        </w:r>
        <w:r w:rsidR="00093DDC">
          <w:rPr>
            <w:rFonts w:ascii="Times New Roman" w:hAnsi="Times New Roman" w:cs="Times New Roman"/>
            <w:noProof/>
            <w:sz w:val="24"/>
            <w:szCs w:val="24"/>
          </w:rPr>
          <w:t>1</w:t>
        </w:r>
        <w:r w:rsidR="007E7217" w:rsidRPr="00140411">
          <w:rPr>
            <w:rFonts w:ascii="Times New Roman" w:hAnsi="Times New Roman" w:cs="Times New Roman"/>
            <w:sz w:val="24"/>
            <w:szCs w:val="24"/>
          </w:rPr>
          <w:fldChar w:fldCharType="end"/>
        </w:r>
      </w:sdtContent>
    </w:sdt>
  </w:p>
  <w:p w:rsidR="00140411" w:rsidRPr="00140411" w:rsidRDefault="001404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U0NbE0NTMzNzU1NDFW0lEKTi0uzszPAykwrAUATprK4CwAAAA="/>
  </w:docVars>
  <w:rsids>
    <w:rsidRoot w:val="001A6319"/>
    <w:rsid w:val="000174F0"/>
    <w:rsid w:val="00052C60"/>
    <w:rsid w:val="00093DDC"/>
    <w:rsid w:val="001060D1"/>
    <w:rsid w:val="00120F59"/>
    <w:rsid w:val="00140411"/>
    <w:rsid w:val="001A6319"/>
    <w:rsid w:val="001E364A"/>
    <w:rsid w:val="00270238"/>
    <w:rsid w:val="002C09DF"/>
    <w:rsid w:val="003716BF"/>
    <w:rsid w:val="003B5047"/>
    <w:rsid w:val="00666C12"/>
    <w:rsid w:val="007E7217"/>
    <w:rsid w:val="00A34CAD"/>
    <w:rsid w:val="00B156F0"/>
    <w:rsid w:val="00D9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411"/>
  </w:style>
  <w:style w:type="paragraph" w:styleId="Footer">
    <w:name w:val="footer"/>
    <w:basedOn w:val="Normal"/>
    <w:link w:val="FooterChar"/>
    <w:uiPriority w:val="99"/>
    <w:semiHidden/>
    <w:unhideWhenUsed/>
    <w:rsid w:val="001404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04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411"/>
  </w:style>
  <w:style w:type="paragraph" w:styleId="Footer">
    <w:name w:val="footer"/>
    <w:basedOn w:val="Normal"/>
    <w:link w:val="FooterChar"/>
    <w:uiPriority w:val="99"/>
    <w:semiHidden/>
    <w:unhideWhenUsed/>
    <w:rsid w:val="001404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0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2</cp:revision>
  <dcterms:created xsi:type="dcterms:W3CDTF">2019-03-01T23:07:00Z</dcterms:created>
  <dcterms:modified xsi:type="dcterms:W3CDTF">2019-03-01T23:07:00Z</dcterms:modified>
</cp:coreProperties>
</file>